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李二波</w:t>
      </w:r>
      <w:r>
        <w:rPr>
          <w:rFonts w:hint="eastAsia"/>
          <w:sz w:val="15"/>
          <w:szCs w:val="15"/>
          <w:highlight w:val="none"/>
        </w:rPr>
        <w:t>，</w:t>
      </w:r>
      <w:r>
        <w:rPr>
          <w:rFonts w:hint="eastAsia"/>
          <w:sz w:val="15"/>
          <w:szCs w:val="15"/>
          <w:highlight w:val="none"/>
          <w:lang w:val="en-US" w:eastAsia="zh-CN"/>
        </w:rPr>
        <w:t>130131198808251239</w:t>
      </w:r>
      <w:r>
        <w:rPr>
          <w:rFonts w:hint="eastAsia"/>
          <w:sz w:val="15"/>
          <w:szCs w:val="15"/>
        </w:rPr>
        <w:t xml:space="preserve">  </w:t>
      </w:r>
      <w:r>
        <w:rPr>
          <w:rFonts w:hint="eastAsia"/>
          <w:sz w:val="15"/>
          <w:szCs w:val="15"/>
          <w:lang w:val="en-US" w:eastAsia="zh-CN"/>
        </w:rPr>
        <w:t>冀A03448D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