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杨雷反</w:t>
      </w:r>
      <w:r>
        <w:rPr>
          <w:rFonts w:hint="eastAsia"/>
          <w:sz w:val="15"/>
          <w:szCs w:val="15"/>
          <w:highlight w:val="none"/>
        </w:rPr>
        <w:t>，</w:t>
      </w:r>
      <w:r>
        <w:rPr>
          <w:rFonts w:hint="eastAsia"/>
          <w:sz w:val="15"/>
          <w:szCs w:val="15"/>
          <w:highlight w:val="none"/>
          <w:lang w:val="en-US" w:eastAsia="zh-CN"/>
        </w:rPr>
        <w:t>130131199101116310</w:t>
      </w:r>
      <w:r>
        <w:rPr>
          <w:rFonts w:hint="eastAsia"/>
          <w:sz w:val="15"/>
          <w:szCs w:val="15"/>
        </w:rPr>
        <w:t xml:space="preserve">  </w:t>
      </w:r>
      <w:r>
        <w:rPr>
          <w:rFonts w:hint="eastAsia"/>
          <w:sz w:val="15"/>
          <w:szCs w:val="15"/>
          <w:lang w:val="en-US" w:eastAsia="zh-CN"/>
        </w:rPr>
        <w:t>冀A02412D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