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范丽菲</w:t>
      </w:r>
      <w:r>
        <w:rPr>
          <w:rFonts w:hint="eastAsia"/>
          <w:sz w:val="15"/>
          <w:szCs w:val="15"/>
          <w:highlight w:val="none"/>
        </w:rPr>
        <w:t>，</w:t>
      </w:r>
      <w:r>
        <w:rPr>
          <w:rFonts w:hint="eastAsia"/>
          <w:sz w:val="15"/>
          <w:szCs w:val="15"/>
          <w:highlight w:val="none"/>
          <w:lang w:val="en-US" w:eastAsia="zh-CN"/>
        </w:rPr>
        <w:t>130126198701012122</w:t>
      </w:r>
      <w:r>
        <w:rPr>
          <w:rFonts w:hint="eastAsia"/>
          <w:sz w:val="15"/>
          <w:szCs w:val="15"/>
        </w:rPr>
        <w:t xml:space="preserve">  </w:t>
      </w:r>
      <w:r>
        <w:rPr>
          <w:rFonts w:hint="eastAsia"/>
          <w:sz w:val="15"/>
          <w:szCs w:val="15"/>
          <w:lang w:val="en-US" w:eastAsia="zh-CN"/>
        </w:rPr>
        <w:t>冀A3658Z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