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3150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梁立明</w:t>
      </w:r>
      <w:r>
        <w:rPr>
          <w:rFonts w:hint="eastAsia"/>
          <w:sz w:val="15"/>
          <w:szCs w:val="15"/>
          <w:highlight w:val="none"/>
        </w:rPr>
        <w:t>，</w:t>
      </w:r>
      <w:r>
        <w:rPr>
          <w:rFonts w:hint="eastAsia"/>
          <w:sz w:val="15"/>
          <w:szCs w:val="15"/>
          <w:highlight w:val="none"/>
          <w:lang w:val="en-US" w:eastAsia="zh-CN"/>
        </w:rPr>
        <w:t>130131198208232114</w:t>
      </w:r>
      <w:r>
        <w:rPr>
          <w:rFonts w:hint="eastAsia"/>
          <w:sz w:val="15"/>
          <w:szCs w:val="15"/>
        </w:rPr>
        <w:t xml:space="preserve">  </w:t>
      </w:r>
      <w:r>
        <w:rPr>
          <w:rFonts w:hint="eastAsia"/>
          <w:sz w:val="15"/>
          <w:szCs w:val="15"/>
          <w:lang w:val="en-US" w:eastAsia="zh-CN"/>
        </w:rPr>
        <w:t>冀A44381D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