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肖佳</w:t>
      </w:r>
      <w:r>
        <w:rPr>
          <w:rFonts w:hint="eastAsia"/>
          <w:sz w:val="15"/>
          <w:szCs w:val="15"/>
          <w:highlight w:val="none"/>
        </w:rPr>
        <w:t>，</w:t>
      </w:r>
      <w:r>
        <w:rPr>
          <w:rFonts w:hint="eastAsia"/>
          <w:sz w:val="15"/>
          <w:szCs w:val="15"/>
          <w:highlight w:val="none"/>
          <w:lang w:val="en-US" w:eastAsia="zh-CN"/>
        </w:rPr>
        <w:t>130131198602280165</w:t>
      </w:r>
      <w:r>
        <w:rPr>
          <w:rFonts w:hint="eastAsia"/>
          <w:sz w:val="15"/>
          <w:szCs w:val="15"/>
        </w:rPr>
        <w:t xml:space="preserve">  </w:t>
      </w:r>
      <w:r>
        <w:rPr>
          <w:rFonts w:hint="eastAsia"/>
          <w:sz w:val="15"/>
          <w:szCs w:val="15"/>
          <w:lang w:val="en-US" w:eastAsia="zh-CN"/>
        </w:rPr>
        <w:t>冀AW1970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