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韩丽丽</w:t>
      </w:r>
      <w:r>
        <w:rPr>
          <w:rFonts w:hint="eastAsia"/>
          <w:sz w:val="15"/>
          <w:szCs w:val="15"/>
          <w:highlight w:val="none"/>
        </w:rPr>
        <w:t>，</w:t>
      </w:r>
      <w:r>
        <w:rPr>
          <w:rFonts w:hint="eastAsia"/>
          <w:sz w:val="15"/>
          <w:szCs w:val="15"/>
          <w:highlight w:val="none"/>
          <w:lang w:val="en-US" w:eastAsia="zh-CN"/>
        </w:rPr>
        <w:t>130131198609230064</w:t>
      </w:r>
      <w:r>
        <w:rPr>
          <w:rFonts w:hint="eastAsia"/>
          <w:sz w:val="15"/>
          <w:szCs w:val="15"/>
        </w:rPr>
        <w:t xml:space="preserve">  </w:t>
      </w:r>
      <w:r>
        <w:rPr>
          <w:rFonts w:hint="eastAsia"/>
          <w:sz w:val="15"/>
          <w:szCs w:val="15"/>
          <w:lang w:val="en-US" w:eastAsia="zh-CN"/>
        </w:rPr>
        <w:t>冀A33848D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