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张国春</w:t>
      </w:r>
      <w:r>
        <w:rPr>
          <w:rFonts w:hint="eastAsia"/>
          <w:sz w:val="15"/>
          <w:szCs w:val="15"/>
          <w:highlight w:val="none"/>
        </w:rPr>
        <w:t>，</w:t>
      </w:r>
      <w:r>
        <w:rPr>
          <w:rFonts w:hint="eastAsia"/>
          <w:sz w:val="15"/>
          <w:szCs w:val="15"/>
          <w:highlight w:val="none"/>
          <w:lang w:val="en-US" w:eastAsia="zh-CN"/>
        </w:rPr>
        <w:t>132335198006121019</w:t>
      </w:r>
      <w:r>
        <w:rPr>
          <w:rFonts w:hint="eastAsia"/>
          <w:sz w:val="15"/>
          <w:szCs w:val="15"/>
        </w:rPr>
        <w:t xml:space="preserve">  </w:t>
      </w:r>
      <w:r>
        <w:rPr>
          <w:rFonts w:hint="eastAsia"/>
          <w:sz w:val="15"/>
          <w:szCs w:val="15"/>
          <w:lang w:val="en-US" w:eastAsia="zh-CN"/>
        </w:rPr>
        <w:t>冀A46456D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