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杨明军</w:t>
      </w:r>
      <w:r>
        <w:rPr>
          <w:rFonts w:hint="eastAsia"/>
          <w:sz w:val="15"/>
          <w:szCs w:val="15"/>
          <w:highlight w:val="none"/>
        </w:rPr>
        <w:t>，</w:t>
      </w:r>
      <w:r>
        <w:rPr>
          <w:rFonts w:hint="eastAsia"/>
          <w:sz w:val="15"/>
          <w:szCs w:val="15"/>
          <w:highlight w:val="none"/>
          <w:lang w:val="en-US" w:eastAsia="zh-CN"/>
        </w:rPr>
        <w:t>132335197309050911</w:t>
      </w:r>
      <w:r>
        <w:rPr>
          <w:rFonts w:hint="eastAsia"/>
          <w:sz w:val="15"/>
          <w:szCs w:val="15"/>
        </w:rPr>
        <w:t xml:space="preserve">  </w:t>
      </w:r>
      <w:r>
        <w:rPr>
          <w:rFonts w:hint="eastAsia"/>
          <w:sz w:val="15"/>
          <w:szCs w:val="15"/>
          <w:lang w:val="en-US" w:eastAsia="zh-CN"/>
        </w:rPr>
        <w:t>沪A91330D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