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齐明杰</w:t>
      </w:r>
      <w:r>
        <w:rPr>
          <w:rFonts w:hint="eastAsia"/>
          <w:sz w:val="15"/>
          <w:szCs w:val="15"/>
          <w:highlight w:val="none"/>
        </w:rPr>
        <w:t>，</w:t>
      </w:r>
      <w:r>
        <w:rPr>
          <w:rFonts w:hint="eastAsia"/>
          <w:sz w:val="15"/>
          <w:szCs w:val="15"/>
          <w:highlight w:val="none"/>
          <w:lang w:val="en-US" w:eastAsia="zh-CN"/>
        </w:rPr>
        <w:t>130131198803165411</w:t>
      </w:r>
      <w:r>
        <w:rPr>
          <w:rFonts w:hint="eastAsia"/>
          <w:sz w:val="15"/>
          <w:szCs w:val="15"/>
        </w:rPr>
        <w:t xml:space="preserve">  </w:t>
      </w:r>
      <w:r>
        <w:rPr>
          <w:rFonts w:hint="eastAsia"/>
          <w:sz w:val="15"/>
          <w:szCs w:val="15"/>
          <w:lang w:val="en-US" w:eastAsia="zh-CN"/>
        </w:rPr>
        <w:t>冀A6370Y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