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孙晓燕</w:t>
      </w:r>
      <w:r>
        <w:rPr>
          <w:rFonts w:hint="eastAsia"/>
          <w:sz w:val="15"/>
          <w:szCs w:val="15"/>
          <w:highlight w:val="none"/>
        </w:rPr>
        <w:t>，</w:t>
      </w:r>
      <w:r>
        <w:rPr>
          <w:rFonts w:hint="eastAsia"/>
          <w:sz w:val="15"/>
          <w:szCs w:val="15"/>
          <w:highlight w:val="none"/>
          <w:lang w:val="en-US" w:eastAsia="zh-CN"/>
        </w:rPr>
        <w:t>130126198810283028</w:t>
      </w:r>
      <w:r>
        <w:rPr>
          <w:rFonts w:hint="eastAsia"/>
          <w:sz w:val="15"/>
          <w:szCs w:val="15"/>
        </w:rPr>
        <w:t xml:space="preserve">  </w:t>
      </w:r>
      <w:r>
        <w:rPr>
          <w:rFonts w:hint="eastAsia"/>
          <w:sz w:val="15"/>
          <w:szCs w:val="15"/>
          <w:lang w:val="en-US" w:eastAsia="zh-CN"/>
        </w:rPr>
        <w:t>冀A30775D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