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杨延龙</w:t>
      </w:r>
      <w:r>
        <w:rPr>
          <w:rFonts w:hint="eastAsia"/>
          <w:sz w:val="15"/>
          <w:szCs w:val="15"/>
          <w:highlight w:val="none"/>
        </w:rPr>
        <w:t>，</w:t>
      </w:r>
      <w:r>
        <w:rPr>
          <w:rFonts w:hint="eastAsia"/>
          <w:sz w:val="15"/>
          <w:szCs w:val="15"/>
          <w:highlight w:val="none"/>
          <w:lang w:val="en-US" w:eastAsia="zh-CN"/>
        </w:rPr>
        <w:t>130131198510100913</w:t>
      </w:r>
      <w:r>
        <w:rPr>
          <w:rFonts w:hint="eastAsia"/>
          <w:sz w:val="15"/>
          <w:szCs w:val="15"/>
        </w:rPr>
        <w:t xml:space="preserve">  </w:t>
      </w:r>
      <w:r>
        <w:rPr>
          <w:rFonts w:hint="eastAsia"/>
          <w:sz w:val="15"/>
          <w:szCs w:val="15"/>
          <w:lang w:val="en-US" w:eastAsia="zh-CN"/>
        </w:rPr>
        <w:t>冀A45590D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