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冯素龙</w:t>
      </w:r>
      <w:r>
        <w:rPr>
          <w:rFonts w:hint="eastAsia"/>
          <w:sz w:val="15"/>
          <w:szCs w:val="15"/>
          <w:highlight w:val="none"/>
        </w:rPr>
        <w:t>，</w:t>
      </w:r>
      <w:r>
        <w:rPr>
          <w:rFonts w:hint="eastAsia"/>
          <w:sz w:val="15"/>
          <w:szCs w:val="15"/>
          <w:highlight w:val="none"/>
          <w:lang w:val="en-US" w:eastAsia="zh-CN"/>
        </w:rPr>
        <w:t>130131198305094518</w:t>
      </w:r>
      <w:r>
        <w:rPr>
          <w:rFonts w:hint="eastAsia"/>
          <w:sz w:val="15"/>
          <w:szCs w:val="15"/>
        </w:rPr>
        <w:t xml:space="preserve">  </w:t>
      </w:r>
      <w:r>
        <w:rPr>
          <w:rFonts w:hint="eastAsia"/>
          <w:sz w:val="15"/>
          <w:szCs w:val="15"/>
          <w:lang w:val="en-US" w:eastAsia="zh-CN"/>
        </w:rPr>
        <w:t>冀A30793D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