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王哲</w:t>
      </w:r>
      <w:r>
        <w:rPr>
          <w:rFonts w:hint="eastAsia"/>
          <w:sz w:val="15"/>
          <w:szCs w:val="15"/>
          <w:highlight w:val="none"/>
        </w:rPr>
        <w:t>，</w:t>
      </w:r>
      <w:r>
        <w:rPr>
          <w:rFonts w:hint="eastAsia"/>
          <w:sz w:val="15"/>
          <w:szCs w:val="15"/>
          <w:highlight w:val="none"/>
          <w:lang w:val="en-US" w:eastAsia="zh-CN"/>
        </w:rPr>
        <w:t>130131198502100059</w:t>
      </w:r>
      <w:r>
        <w:rPr>
          <w:rFonts w:hint="eastAsia"/>
          <w:sz w:val="15"/>
          <w:szCs w:val="15"/>
        </w:rPr>
        <w:t xml:space="preserve">  </w:t>
      </w:r>
      <w:r>
        <w:rPr>
          <w:rFonts w:hint="eastAsia"/>
          <w:sz w:val="15"/>
          <w:szCs w:val="15"/>
          <w:lang w:val="en-US" w:eastAsia="zh-CN"/>
        </w:rPr>
        <w:t>冀A46171D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