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晓光</w:t>
      </w:r>
      <w:r>
        <w:rPr>
          <w:rFonts w:hint="eastAsia"/>
          <w:sz w:val="15"/>
          <w:szCs w:val="15"/>
          <w:highlight w:val="none"/>
        </w:rPr>
        <w:t>，</w:t>
      </w:r>
      <w:r>
        <w:rPr>
          <w:rFonts w:hint="eastAsia"/>
          <w:sz w:val="15"/>
          <w:szCs w:val="15"/>
          <w:highlight w:val="none"/>
          <w:lang w:val="en-US" w:eastAsia="zh-CN"/>
        </w:rPr>
        <w:t>130131199202064812</w:t>
      </w:r>
      <w:r>
        <w:rPr>
          <w:rFonts w:hint="eastAsia"/>
          <w:sz w:val="15"/>
          <w:szCs w:val="15"/>
        </w:rPr>
        <w:t xml:space="preserve">  </w:t>
      </w:r>
      <w:r>
        <w:rPr>
          <w:rFonts w:hint="eastAsia"/>
          <w:sz w:val="15"/>
          <w:szCs w:val="15"/>
          <w:lang w:val="en-US" w:eastAsia="zh-CN"/>
        </w:rPr>
        <w:t>沪A1158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