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权力军</w:t>
      </w:r>
      <w:r>
        <w:rPr>
          <w:rFonts w:hint="eastAsia"/>
          <w:sz w:val="15"/>
          <w:szCs w:val="15"/>
          <w:highlight w:val="none"/>
        </w:rPr>
        <w:t>，</w:t>
      </w:r>
      <w:r>
        <w:rPr>
          <w:rFonts w:hint="eastAsia"/>
          <w:sz w:val="15"/>
          <w:szCs w:val="15"/>
          <w:highlight w:val="none"/>
          <w:lang w:val="en-US" w:eastAsia="zh-CN"/>
        </w:rPr>
        <w:t>130131198205101530</w:t>
      </w:r>
      <w:r>
        <w:rPr>
          <w:rFonts w:hint="eastAsia"/>
          <w:sz w:val="15"/>
          <w:szCs w:val="15"/>
        </w:rPr>
        <w:t xml:space="preserve">  </w:t>
      </w:r>
      <w:r>
        <w:rPr>
          <w:rFonts w:hint="eastAsia"/>
          <w:sz w:val="15"/>
          <w:szCs w:val="15"/>
          <w:lang w:val="en-US" w:eastAsia="zh-CN"/>
        </w:rPr>
        <w:t>冀A675LY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