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2686</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赵志刚</w:t>
      </w:r>
      <w:r>
        <w:rPr>
          <w:rFonts w:hint="eastAsia"/>
          <w:sz w:val="15"/>
          <w:szCs w:val="15"/>
          <w:highlight w:val="none"/>
        </w:rPr>
        <w:t>，</w:t>
      </w:r>
      <w:r>
        <w:rPr>
          <w:rFonts w:hint="eastAsia"/>
          <w:sz w:val="15"/>
          <w:szCs w:val="15"/>
          <w:highlight w:val="none"/>
          <w:lang w:val="en-US" w:eastAsia="zh-CN"/>
        </w:rPr>
        <w:t>132336197911270817</w:t>
      </w:r>
      <w:r>
        <w:rPr>
          <w:rFonts w:hint="eastAsia"/>
          <w:sz w:val="15"/>
          <w:szCs w:val="15"/>
        </w:rPr>
        <w:t xml:space="preserve">  </w:t>
      </w:r>
      <w:r>
        <w:rPr>
          <w:rFonts w:hint="eastAsia"/>
          <w:sz w:val="15"/>
          <w:szCs w:val="15"/>
          <w:lang w:val="en-US" w:eastAsia="zh-CN"/>
        </w:rPr>
        <w:t>沪A66595D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