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贾志豪</w:t>
      </w:r>
      <w:r>
        <w:rPr>
          <w:rFonts w:hint="eastAsia"/>
          <w:sz w:val="15"/>
          <w:szCs w:val="15"/>
          <w:highlight w:val="none"/>
        </w:rPr>
        <w:t>，</w:t>
      </w:r>
      <w:r>
        <w:rPr>
          <w:rFonts w:hint="eastAsia"/>
          <w:sz w:val="15"/>
          <w:szCs w:val="15"/>
          <w:highlight w:val="none"/>
          <w:lang w:val="en-US" w:eastAsia="zh-CN"/>
        </w:rPr>
        <w:t>130123198708222713</w:t>
      </w:r>
      <w:r>
        <w:rPr>
          <w:rFonts w:hint="eastAsia"/>
          <w:sz w:val="15"/>
          <w:szCs w:val="15"/>
        </w:rPr>
        <w:t xml:space="preserve">  </w:t>
      </w:r>
      <w:r>
        <w:rPr>
          <w:rFonts w:hint="eastAsia"/>
          <w:sz w:val="15"/>
          <w:szCs w:val="15"/>
          <w:lang w:val="en-US" w:eastAsia="zh-CN"/>
        </w:rPr>
        <w:t>冀A0Y622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