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单风春</w:t>
      </w:r>
      <w:r>
        <w:rPr>
          <w:rFonts w:hint="eastAsia"/>
          <w:sz w:val="15"/>
          <w:szCs w:val="15"/>
          <w:highlight w:val="none"/>
        </w:rPr>
        <w:t>，</w:t>
      </w:r>
      <w:r>
        <w:rPr>
          <w:rFonts w:hint="eastAsia"/>
          <w:sz w:val="15"/>
          <w:szCs w:val="15"/>
          <w:highlight w:val="none"/>
          <w:lang w:val="en-US" w:eastAsia="zh-CN"/>
        </w:rPr>
        <w:t>13233519640307101X</w:t>
      </w:r>
      <w:r>
        <w:rPr>
          <w:rFonts w:hint="eastAsia"/>
          <w:sz w:val="15"/>
          <w:szCs w:val="15"/>
        </w:rPr>
        <w:t xml:space="preserve">  </w:t>
      </w:r>
      <w:r>
        <w:rPr>
          <w:rFonts w:hint="eastAsia"/>
          <w:sz w:val="15"/>
          <w:szCs w:val="15"/>
          <w:lang w:val="en-US" w:eastAsia="zh-CN"/>
        </w:rPr>
        <w:t>冀A44768D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