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杨行</w:t>
      </w:r>
      <w:r>
        <w:rPr>
          <w:rFonts w:hint="eastAsia"/>
          <w:sz w:val="15"/>
          <w:szCs w:val="15"/>
          <w:highlight w:val="none"/>
        </w:rPr>
        <w:t>，</w:t>
      </w:r>
      <w:r>
        <w:rPr>
          <w:rFonts w:hint="eastAsia"/>
          <w:sz w:val="15"/>
          <w:szCs w:val="15"/>
          <w:highlight w:val="none"/>
          <w:lang w:val="en-US" w:eastAsia="zh-CN"/>
        </w:rPr>
        <w:t>130131199502250916</w:t>
      </w:r>
      <w:r>
        <w:rPr>
          <w:rFonts w:hint="eastAsia"/>
          <w:sz w:val="15"/>
          <w:szCs w:val="15"/>
        </w:rPr>
        <w:t xml:space="preserve">  </w:t>
      </w:r>
      <w:r>
        <w:rPr>
          <w:rFonts w:hint="eastAsia"/>
          <w:sz w:val="15"/>
          <w:szCs w:val="15"/>
          <w:lang w:val="en-US" w:eastAsia="zh-CN"/>
        </w:rPr>
        <w:t>冀A33554D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