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翟丽红</w:t>
      </w:r>
      <w:r>
        <w:rPr>
          <w:rFonts w:hint="eastAsia"/>
          <w:sz w:val="15"/>
          <w:szCs w:val="15"/>
          <w:highlight w:val="none"/>
        </w:rPr>
        <w:t>，</w:t>
      </w:r>
      <w:r>
        <w:rPr>
          <w:rFonts w:hint="eastAsia"/>
          <w:sz w:val="15"/>
          <w:szCs w:val="15"/>
          <w:highlight w:val="none"/>
          <w:lang w:val="en-US" w:eastAsia="zh-CN"/>
        </w:rPr>
        <w:t>130131198804285722</w:t>
      </w:r>
      <w:r>
        <w:rPr>
          <w:rFonts w:hint="eastAsia"/>
          <w:sz w:val="15"/>
          <w:szCs w:val="15"/>
        </w:rPr>
        <w:t xml:space="preserve">  </w:t>
      </w:r>
      <w:r>
        <w:rPr>
          <w:rFonts w:hint="eastAsia"/>
          <w:sz w:val="15"/>
          <w:szCs w:val="15"/>
          <w:lang w:val="en-US" w:eastAsia="zh-CN"/>
        </w:rPr>
        <w:t>冀A5979W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