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张艳军</w:t>
      </w:r>
      <w:r>
        <w:rPr>
          <w:rFonts w:hint="eastAsia"/>
          <w:sz w:val="15"/>
          <w:szCs w:val="15"/>
          <w:highlight w:val="none"/>
        </w:rPr>
        <w:t>，</w:t>
      </w:r>
      <w:r>
        <w:rPr>
          <w:rFonts w:hint="eastAsia"/>
          <w:sz w:val="15"/>
          <w:szCs w:val="15"/>
          <w:highlight w:val="none"/>
          <w:lang w:val="en-US" w:eastAsia="zh-CN"/>
        </w:rPr>
        <w:t>130126198409232718</w:t>
      </w:r>
      <w:r>
        <w:rPr>
          <w:rFonts w:hint="eastAsia"/>
          <w:sz w:val="15"/>
          <w:szCs w:val="15"/>
        </w:rPr>
        <w:t xml:space="preserve">  </w:t>
      </w:r>
      <w:r>
        <w:rPr>
          <w:rFonts w:hint="eastAsia"/>
          <w:sz w:val="15"/>
          <w:szCs w:val="15"/>
          <w:lang w:val="en-US" w:eastAsia="zh-CN"/>
        </w:rPr>
        <w:t>京A19419D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