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梁建海</w:t>
      </w:r>
      <w:r>
        <w:rPr>
          <w:rFonts w:hint="eastAsia"/>
          <w:sz w:val="15"/>
          <w:szCs w:val="15"/>
          <w:highlight w:val="none"/>
        </w:rPr>
        <w:t>，</w:t>
      </w:r>
      <w:r>
        <w:rPr>
          <w:rFonts w:hint="eastAsia"/>
          <w:sz w:val="15"/>
          <w:szCs w:val="15"/>
          <w:highlight w:val="none"/>
          <w:lang w:val="en-US" w:eastAsia="zh-CN"/>
        </w:rPr>
        <w:t>132335197102220039</w:t>
      </w:r>
      <w:r>
        <w:rPr>
          <w:rFonts w:hint="eastAsia"/>
          <w:sz w:val="15"/>
          <w:szCs w:val="15"/>
        </w:rPr>
        <w:t xml:space="preserve">  </w:t>
      </w:r>
      <w:r>
        <w:rPr>
          <w:rFonts w:hint="eastAsia"/>
          <w:sz w:val="15"/>
          <w:szCs w:val="15"/>
          <w:lang w:val="en-US" w:eastAsia="zh-CN"/>
        </w:rPr>
        <w:t>冀A46571D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