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焦利明</w:t>
      </w:r>
      <w:r>
        <w:rPr>
          <w:rFonts w:hint="eastAsia"/>
          <w:sz w:val="15"/>
          <w:szCs w:val="15"/>
          <w:highlight w:val="none"/>
        </w:rPr>
        <w:t>，</w:t>
      </w:r>
      <w:r>
        <w:rPr>
          <w:rFonts w:hint="eastAsia"/>
          <w:sz w:val="15"/>
          <w:szCs w:val="15"/>
          <w:highlight w:val="none"/>
          <w:lang w:val="en-US" w:eastAsia="zh-CN"/>
        </w:rPr>
        <w:t>132335198111112579</w:t>
      </w:r>
      <w:r>
        <w:rPr>
          <w:rFonts w:hint="eastAsia"/>
          <w:sz w:val="15"/>
          <w:szCs w:val="15"/>
        </w:rPr>
        <w:t xml:space="preserve">  </w:t>
      </w:r>
      <w:r>
        <w:rPr>
          <w:rFonts w:hint="eastAsia"/>
          <w:sz w:val="15"/>
          <w:szCs w:val="15"/>
          <w:lang w:val="en-US" w:eastAsia="zh-CN"/>
        </w:rPr>
        <w:t>冀A9250X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