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靳香悦</w:t>
      </w:r>
      <w:r>
        <w:rPr>
          <w:rFonts w:hint="eastAsia"/>
          <w:sz w:val="15"/>
          <w:szCs w:val="15"/>
          <w:highlight w:val="none"/>
        </w:rPr>
        <w:t>，</w:t>
      </w:r>
      <w:r>
        <w:rPr>
          <w:rFonts w:hint="eastAsia"/>
          <w:sz w:val="15"/>
          <w:szCs w:val="15"/>
          <w:highlight w:val="none"/>
          <w:lang w:val="en-US" w:eastAsia="zh-CN"/>
        </w:rPr>
        <w:t>130126199710250020</w:t>
      </w:r>
      <w:r>
        <w:rPr>
          <w:rFonts w:hint="eastAsia"/>
          <w:sz w:val="15"/>
          <w:szCs w:val="15"/>
        </w:rPr>
        <w:t xml:space="preserve">  </w:t>
      </w:r>
      <w:r>
        <w:rPr>
          <w:rFonts w:hint="eastAsia"/>
          <w:sz w:val="15"/>
          <w:szCs w:val="15"/>
          <w:lang w:val="en-US" w:eastAsia="zh-CN"/>
        </w:rPr>
        <w:t>冀AP1501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