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建龙</w:t>
      </w:r>
      <w:r>
        <w:rPr>
          <w:rFonts w:hint="eastAsia"/>
          <w:sz w:val="15"/>
          <w:szCs w:val="15"/>
          <w:highlight w:val="none"/>
        </w:rPr>
        <w:t>，</w:t>
      </w:r>
      <w:r>
        <w:rPr>
          <w:rFonts w:hint="eastAsia"/>
          <w:sz w:val="15"/>
          <w:szCs w:val="15"/>
          <w:highlight w:val="none"/>
          <w:lang w:val="en-US" w:eastAsia="zh-CN"/>
        </w:rPr>
        <w:t>130131198809015430</w:t>
      </w:r>
      <w:r>
        <w:rPr>
          <w:rFonts w:hint="eastAsia"/>
          <w:sz w:val="15"/>
          <w:szCs w:val="15"/>
        </w:rPr>
        <w:t xml:space="preserve">  </w:t>
      </w:r>
      <w:r>
        <w:rPr>
          <w:rFonts w:hint="eastAsia"/>
          <w:sz w:val="15"/>
          <w:szCs w:val="15"/>
          <w:lang w:val="en-US" w:eastAsia="zh-CN"/>
        </w:rPr>
        <w:t>沪A061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