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韩羽瞳</w:t>
      </w:r>
      <w:r>
        <w:rPr>
          <w:rFonts w:hint="eastAsia"/>
          <w:sz w:val="15"/>
          <w:szCs w:val="15"/>
          <w:highlight w:val="none"/>
        </w:rPr>
        <w:t>，</w:t>
      </w:r>
      <w:r>
        <w:rPr>
          <w:rFonts w:hint="eastAsia"/>
          <w:sz w:val="15"/>
          <w:szCs w:val="15"/>
          <w:highlight w:val="none"/>
          <w:lang w:val="en-US" w:eastAsia="zh-CN"/>
        </w:rPr>
        <w:t>130131200708164218</w:t>
      </w:r>
      <w:r>
        <w:rPr>
          <w:rFonts w:hint="eastAsia"/>
          <w:sz w:val="15"/>
          <w:szCs w:val="15"/>
        </w:rPr>
        <w:t xml:space="preserve">  </w:t>
      </w:r>
      <w:r>
        <w:rPr>
          <w:rFonts w:hint="eastAsia"/>
          <w:sz w:val="15"/>
          <w:szCs w:val="15"/>
          <w:lang w:val="en-US" w:eastAsia="zh-CN"/>
        </w:rPr>
        <w:t>冀A06771D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