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李宁</w:t>
      </w:r>
      <w:r>
        <w:rPr>
          <w:rFonts w:hint="eastAsia"/>
          <w:sz w:val="15"/>
          <w:szCs w:val="15"/>
          <w:highlight w:val="none"/>
        </w:rPr>
        <w:t>，</w:t>
      </w:r>
      <w:r>
        <w:rPr>
          <w:rFonts w:hint="eastAsia"/>
          <w:sz w:val="15"/>
          <w:szCs w:val="15"/>
          <w:highlight w:val="none"/>
          <w:lang w:val="en-US" w:eastAsia="zh-CN"/>
        </w:rPr>
        <w:t>130131198511253612</w:t>
      </w:r>
      <w:r>
        <w:rPr>
          <w:rFonts w:hint="eastAsia"/>
          <w:sz w:val="15"/>
          <w:szCs w:val="15"/>
        </w:rPr>
        <w:t xml:space="preserve">  </w:t>
      </w:r>
      <w:r>
        <w:rPr>
          <w:rFonts w:hint="eastAsia"/>
          <w:sz w:val="15"/>
          <w:szCs w:val="15"/>
          <w:lang w:val="en-US" w:eastAsia="zh-CN"/>
        </w:rPr>
        <w:t>冀F02703D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