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赵进彦</w:t>
      </w:r>
      <w:r>
        <w:rPr>
          <w:rFonts w:hint="eastAsia"/>
          <w:sz w:val="15"/>
          <w:szCs w:val="15"/>
          <w:highlight w:val="none"/>
        </w:rPr>
        <w:t>，</w:t>
      </w:r>
      <w:r>
        <w:rPr>
          <w:rFonts w:hint="eastAsia"/>
          <w:sz w:val="15"/>
          <w:szCs w:val="15"/>
          <w:highlight w:val="none"/>
          <w:lang w:val="en-US" w:eastAsia="zh-CN"/>
        </w:rPr>
        <w:t>130131198604081522</w:t>
      </w:r>
      <w:r>
        <w:rPr>
          <w:rFonts w:hint="eastAsia"/>
          <w:sz w:val="15"/>
          <w:szCs w:val="15"/>
        </w:rPr>
        <w:t xml:space="preserve">  </w:t>
      </w:r>
      <w:r>
        <w:rPr>
          <w:rFonts w:hint="eastAsia"/>
          <w:sz w:val="15"/>
          <w:szCs w:val="15"/>
          <w:lang w:val="en-US" w:eastAsia="zh-CN"/>
        </w:rPr>
        <w:t>沪A00760A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