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郝卫龙</w:t>
      </w:r>
      <w:r>
        <w:rPr>
          <w:rFonts w:hint="eastAsia"/>
          <w:sz w:val="15"/>
          <w:szCs w:val="15"/>
          <w:highlight w:val="none"/>
        </w:rPr>
        <w:t>，</w:t>
      </w:r>
      <w:r>
        <w:rPr>
          <w:rFonts w:hint="eastAsia"/>
          <w:sz w:val="15"/>
          <w:szCs w:val="15"/>
          <w:highlight w:val="none"/>
          <w:lang w:val="en-US" w:eastAsia="zh-CN"/>
        </w:rPr>
        <w:t>130131199105081514</w:t>
      </w:r>
      <w:r>
        <w:rPr>
          <w:rFonts w:hint="eastAsia"/>
          <w:sz w:val="15"/>
          <w:szCs w:val="15"/>
        </w:rPr>
        <w:t xml:space="preserve">  </w:t>
      </w:r>
      <w:r>
        <w:rPr>
          <w:rFonts w:hint="eastAsia"/>
          <w:sz w:val="15"/>
          <w:szCs w:val="15"/>
          <w:lang w:val="en-US" w:eastAsia="zh-CN"/>
        </w:rPr>
        <w:t>津A21856D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