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李正生</w:t>
      </w:r>
      <w:r>
        <w:rPr>
          <w:rFonts w:hint="eastAsia"/>
          <w:sz w:val="15"/>
          <w:szCs w:val="15"/>
          <w:highlight w:val="none"/>
        </w:rPr>
        <w:t>，</w:t>
      </w:r>
      <w:r>
        <w:rPr>
          <w:rFonts w:hint="eastAsia"/>
          <w:sz w:val="15"/>
          <w:szCs w:val="15"/>
          <w:highlight w:val="none"/>
          <w:lang w:val="en-US" w:eastAsia="zh-CN"/>
        </w:rPr>
        <w:t>130131198505303919</w:t>
      </w:r>
      <w:r>
        <w:rPr>
          <w:rFonts w:hint="eastAsia"/>
          <w:sz w:val="15"/>
          <w:szCs w:val="15"/>
        </w:rPr>
        <w:t xml:space="preserve">  </w:t>
      </w:r>
      <w:r>
        <w:rPr>
          <w:rFonts w:hint="eastAsia"/>
          <w:sz w:val="15"/>
          <w:szCs w:val="15"/>
          <w:lang w:val="en-US" w:eastAsia="zh-CN"/>
        </w:rPr>
        <w:t>沪A21160A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