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刘永岗</w:t>
      </w:r>
      <w:r>
        <w:rPr>
          <w:rFonts w:hint="eastAsia"/>
          <w:sz w:val="15"/>
          <w:szCs w:val="15"/>
          <w:highlight w:val="none"/>
        </w:rPr>
        <w:t>，</w:t>
      </w:r>
      <w:r>
        <w:rPr>
          <w:rFonts w:hint="eastAsia"/>
          <w:sz w:val="15"/>
          <w:szCs w:val="15"/>
          <w:highlight w:val="none"/>
          <w:lang w:val="en-US" w:eastAsia="zh-CN"/>
        </w:rPr>
        <w:t>130131198411073913</w:t>
      </w:r>
      <w:r>
        <w:rPr>
          <w:rFonts w:hint="eastAsia"/>
          <w:sz w:val="15"/>
          <w:szCs w:val="15"/>
        </w:rPr>
        <w:t xml:space="preserve">  </w:t>
      </w:r>
      <w:r>
        <w:rPr>
          <w:rFonts w:hint="eastAsia"/>
          <w:sz w:val="15"/>
          <w:szCs w:val="15"/>
          <w:lang w:val="en-US" w:eastAsia="zh-CN"/>
        </w:rPr>
        <w:t>冀A35671D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