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齐晓磊</w:t>
      </w:r>
      <w:r>
        <w:rPr>
          <w:rFonts w:hint="eastAsia"/>
          <w:sz w:val="15"/>
          <w:szCs w:val="15"/>
          <w:highlight w:val="none"/>
        </w:rPr>
        <w:t>，</w:t>
      </w:r>
      <w:r>
        <w:rPr>
          <w:rFonts w:hint="eastAsia"/>
          <w:sz w:val="15"/>
          <w:szCs w:val="15"/>
          <w:highlight w:val="none"/>
          <w:lang w:val="en-US" w:eastAsia="zh-CN"/>
        </w:rPr>
        <w:t>130131199005240098</w:t>
      </w:r>
      <w:r>
        <w:rPr>
          <w:rFonts w:hint="eastAsia"/>
          <w:sz w:val="15"/>
          <w:szCs w:val="15"/>
        </w:rPr>
        <w:t xml:space="preserve">  </w:t>
      </w:r>
      <w:r>
        <w:rPr>
          <w:rFonts w:hint="eastAsia"/>
          <w:sz w:val="15"/>
          <w:szCs w:val="15"/>
          <w:lang w:val="en-US" w:eastAsia="zh-CN"/>
        </w:rPr>
        <w:t>冀A41879D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