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王三科</w:t>
      </w:r>
      <w:r>
        <w:rPr>
          <w:rFonts w:hint="eastAsia"/>
          <w:sz w:val="15"/>
          <w:szCs w:val="15"/>
          <w:highlight w:val="none"/>
        </w:rPr>
        <w:t>，</w:t>
      </w:r>
      <w:r>
        <w:rPr>
          <w:rFonts w:hint="eastAsia"/>
          <w:sz w:val="15"/>
          <w:szCs w:val="15"/>
          <w:highlight w:val="none"/>
          <w:lang w:val="en-US" w:eastAsia="zh-CN"/>
        </w:rPr>
        <w:t>130126199005253912</w:t>
      </w:r>
      <w:r>
        <w:rPr>
          <w:rFonts w:hint="eastAsia"/>
          <w:sz w:val="15"/>
          <w:szCs w:val="15"/>
        </w:rPr>
        <w:t xml:space="preserve">  </w:t>
      </w:r>
      <w:r>
        <w:rPr>
          <w:rFonts w:hint="eastAsia"/>
          <w:sz w:val="15"/>
          <w:szCs w:val="15"/>
          <w:lang w:val="en-US" w:eastAsia="zh-CN"/>
        </w:rPr>
        <w:t>冀A4170F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