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孙艳敏</w:t>
      </w:r>
      <w:r>
        <w:rPr>
          <w:rFonts w:hint="eastAsia"/>
          <w:sz w:val="15"/>
          <w:szCs w:val="15"/>
          <w:highlight w:val="none"/>
        </w:rPr>
        <w:t>，</w:t>
      </w:r>
      <w:r>
        <w:rPr>
          <w:rFonts w:hint="eastAsia"/>
          <w:sz w:val="15"/>
          <w:szCs w:val="15"/>
          <w:highlight w:val="none"/>
          <w:lang w:val="en-US" w:eastAsia="zh-CN"/>
        </w:rPr>
        <w:t>130126198509153021</w:t>
      </w:r>
      <w:r>
        <w:rPr>
          <w:rFonts w:hint="eastAsia"/>
          <w:sz w:val="15"/>
          <w:szCs w:val="15"/>
        </w:rPr>
        <w:t xml:space="preserve">  </w:t>
      </w:r>
      <w:r>
        <w:rPr>
          <w:rFonts w:hint="eastAsia"/>
          <w:sz w:val="15"/>
          <w:szCs w:val="15"/>
          <w:lang w:val="en-US" w:eastAsia="zh-CN"/>
        </w:rPr>
        <w:t>冀AAH421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