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李丽彦</w:t>
      </w:r>
      <w:r>
        <w:rPr>
          <w:rFonts w:hint="eastAsia"/>
          <w:sz w:val="15"/>
          <w:szCs w:val="15"/>
          <w:highlight w:val="none"/>
        </w:rPr>
        <w:t>，</w:t>
      </w:r>
      <w:r>
        <w:rPr>
          <w:rFonts w:hint="eastAsia"/>
          <w:sz w:val="15"/>
          <w:szCs w:val="15"/>
          <w:highlight w:val="none"/>
          <w:lang w:val="en-US" w:eastAsia="zh-CN"/>
        </w:rPr>
        <w:t>130131199112065408</w:t>
      </w:r>
      <w:r>
        <w:rPr>
          <w:rFonts w:hint="eastAsia"/>
          <w:sz w:val="15"/>
          <w:szCs w:val="15"/>
        </w:rPr>
        <w:t xml:space="preserve">  </w:t>
      </w:r>
      <w:r>
        <w:rPr>
          <w:rFonts w:hint="eastAsia"/>
          <w:sz w:val="15"/>
          <w:szCs w:val="15"/>
          <w:lang w:val="en-US" w:eastAsia="zh-CN"/>
        </w:rPr>
        <w:t>沪A16899A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