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2359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刘鹏杰</w:t>
      </w:r>
      <w:r>
        <w:rPr>
          <w:rFonts w:hint="eastAsia"/>
          <w:sz w:val="15"/>
          <w:szCs w:val="15"/>
          <w:highlight w:val="none"/>
        </w:rPr>
        <w:t>，</w:t>
      </w:r>
      <w:r>
        <w:rPr>
          <w:rFonts w:hint="eastAsia"/>
          <w:sz w:val="15"/>
          <w:szCs w:val="15"/>
          <w:highlight w:val="none"/>
          <w:lang w:val="en-US" w:eastAsia="zh-CN"/>
        </w:rPr>
        <w:t>130125198708276538</w:t>
      </w:r>
      <w:r>
        <w:rPr>
          <w:rFonts w:hint="eastAsia"/>
          <w:sz w:val="15"/>
          <w:szCs w:val="15"/>
        </w:rPr>
        <w:t xml:space="preserve">  </w:t>
      </w:r>
      <w:r>
        <w:rPr>
          <w:rFonts w:hint="eastAsia"/>
          <w:sz w:val="15"/>
          <w:szCs w:val="15"/>
          <w:lang w:val="en-US" w:eastAsia="zh-CN"/>
        </w:rPr>
        <w:t>冀T05609D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