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李志远</w:t>
      </w:r>
      <w:r>
        <w:rPr>
          <w:rFonts w:hint="eastAsia"/>
          <w:sz w:val="15"/>
          <w:szCs w:val="15"/>
          <w:highlight w:val="none"/>
        </w:rPr>
        <w:t>，</w:t>
      </w:r>
      <w:r>
        <w:rPr>
          <w:rFonts w:hint="eastAsia"/>
          <w:sz w:val="15"/>
          <w:szCs w:val="15"/>
          <w:highlight w:val="none"/>
          <w:lang w:val="en-US" w:eastAsia="zh-CN"/>
        </w:rPr>
        <w:t>130131198404183911</w:t>
      </w:r>
      <w:r>
        <w:rPr>
          <w:rFonts w:hint="eastAsia"/>
          <w:sz w:val="15"/>
          <w:szCs w:val="15"/>
        </w:rPr>
        <w:t xml:space="preserve">  </w:t>
      </w:r>
      <w:r>
        <w:rPr>
          <w:rFonts w:hint="eastAsia"/>
          <w:sz w:val="15"/>
          <w:szCs w:val="15"/>
          <w:lang w:val="en-US" w:eastAsia="zh-CN"/>
        </w:rPr>
        <w:t>冀A90460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