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晶晶</w:t>
      </w:r>
      <w:r>
        <w:rPr>
          <w:rFonts w:hint="eastAsia"/>
          <w:sz w:val="15"/>
          <w:szCs w:val="15"/>
          <w:highlight w:val="none"/>
        </w:rPr>
        <w:t>，</w:t>
      </w:r>
      <w:r>
        <w:rPr>
          <w:rFonts w:hint="eastAsia"/>
          <w:sz w:val="15"/>
          <w:szCs w:val="15"/>
          <w:highlight w:val="none"/>
          <w:lang w:val="en-US" w:eastAsia="zh-CN"/>
        </w:rPr>
        <w:t>120225198707285268</w:t>
      </w:r>
      <w:r>
        <w:rPr>
          <w:rFonts w:hint="eastAsia"/>
          <w:sz w:val="15"/>
          <w:szCs w:val="15"/>
        </w:rPr>
        <w:t xml:space="preserve">  </w:t>
      </w:r>
      <w:r>
        <w:rPr>
          <w:rFonts w:hint="eastAsia"/>
          <w:sz w:val="15"/>
          <w:szCs w:val="15"/>
          <w:lang w:val="en-US" w:eastAsia="zh-CN"/>
        </w:rPr>
        <w:t>蒙H160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