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邢建竹</w:t>
      </w:r>
      <w:r>
        <w:rPr>
          <w:rFonts w:hint="eastAsia"/>
          <w:sz w:val="15"/>
          <w:szCs w:val="15"/>
          <w:highlight w:val="none"/>
        </w:rPr>
        <w:t>，</w:t>
      </w:r>
      <w:r>
        <w:rPr>
          <w:rFonts w:hint="eastAsia"/>
          <w:sz w:val="15"/>
          <w:szCs w:val="15"/>
          <w:highlight w:val="none"/>
          <w:lang w:val="en-US" w:eastAsia="zh-CN"/>
        </w:rPr>
        <w:t>132336196908192817</w:t>
      </w:r>
      <w:r>
        <w:rPr>
          <w:rFonts w:hint="eastAsia"/>
          <w:sz w:val="15"/>
          <w:szCs w:val="15"/>
        </w:rPr>
        <w:t xml:space="preserve">  </w:t>
      </w:r>
      <w:r>
        <w:rPr>
          <w:rFonts w:hint="eastAsia"/>
          <w:sz w:val="15"/>
          <w:szCs w:val="15"/>
          <w:lang w:val="en-US" w:eastAsia="zh-CN"/>
        </w:rPr>
        <w:t>冀A38525D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