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刘树明</w:t>
      </w:r>
      <w:r>
        <w:rPr>
          <w:rFonts w:hint="eastAsia"/>
          <w:sz w:val="15"/>
          <w:szCs w:val="15"/>
          <w:highlight w:val="none"/>
        </w:rPr>
        <w:t>，</w:t>
      </w:r>
      <w:r>
        <w:rPr>
          <w:rFonts w:hint="eastAsia"/>
          <w:sz w:val="15"/>
          <w:szCs w:val="15"/>
          <w:highlight w:val="none"/>
          <w:lang w:val="en-US" w:eastAsia="zh-CN"/>
        </w:rPr>
        <w:t>130921198008260031</w:t>
      </w:r>
      <w:r>
        <w:rPr>
          <w:rFonts w:hint="eastAsia"/>
          <w:sz w:val="15"/>
          <w:szCs w:val="15"/>
        </w:rPr>
        <w:t xml:space="preserve">  </w:t>
      </w:r>
      <w:r>
        <w:rPr>
          <w:rFonts w:hint="eastAsia"/>
          <w:sz w:val="15"/>
          <w:szCs w:val="15"/>
          <w:lang w:val="en-US" w:eastAsia="zh-CN"/>
        </w:rPr>
        <w:t>冀J1H169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