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陈利强</w:t>
      </w:r>
      <w:r>
        <w:rPr>
          <w:rFonts w:hint="eastAsia"/>
          <w:sz w:val="15"/>
          <w:szCs w:val="15"/>
          <w:highlight w:val="none"/>
        </w:rPr>
        <w:t>，</w:t>
      </w:r>
      <w:r>
        <w:rPr>
          <w:rFonts w:hint="eastAsia"/>
          <w:sz w:val="15"/>
          <w:szCs w:val="15"/>
          <w:highlight w:val="none"/>
          <w:lang w:val="en-US" w:eastAsia="zh-CN"/>
        </w:rPr>
        <w:t>130131198501210010</w:t>
      </w:r>
      <w:r>
        <w:rPr>
          <w:rFonts w:hint="eastAsia"/>
          <w:sz w:val="15"/>
          <w:szCs w:val="15"/>
        </w:rPr>
        <w:t xml:space="preserve">  </w:t>
      </w:r>
      <w:r>
        <w:rPr>
          <w:rFonts w:hint="eastAsia"/>
          <w:sz w:val="15"/>
          <w:szCs w:val="15"/>
          <w:lang w:val="en-US" w:eastAsia="zh-CN"/>
        </w:rPr>
        <w:t>冀A36156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