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王学龙</w:t>
      </w:r>
      <w:r>
        <w:rPr>
          <w:rFonts w:hint="eastAsia"/>
          <w:sz w:val="15"/>
          <w:szCs w:val="15"/>
          <w:highlight w:val="none"/>
        </w:rPr>
        <w:t>，</w:t>
      </w:r>
      <w:r>
        <w:rPr>
          <w:rFonts w:hint="eastAsia"/>
          <w:sz w:val="15"/>
          <w:szCs w:val="15"/>
          <w:highlight w:val="none"/>
          <w:lang w:val="en-US" w:eastAsia="zh-CN"/>
        </w:rPr>
        <w:t>130131198812261835</w:t>
      </w:r>
      <w:r>
        <w:rPr>
          <w:rFonts w:hint="eastAsia"/>
          <w:sz w:val="15"/>
          <w:szCs w:val="15"/>
        </w:rPr>
        <w:t xml:space="preserve">  </w:t>
      </w:r>
      <w:r>
        <w:rPr>
          <w:rFonts w:hint="eastAsia"/>
          <w:sz w:val="15"/>
          <w:szCs w:val="15"/>
          <w:lang w:val="en-US" w:eastAsia="zh-CN"/>
        </w:rPr>
        <w:t>冀A32495D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