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张占青</w:t>
      </w:r>
      <w:r>
        <w:rPr>
          <w:rFonts w:hint="eastAsia"/>
          <w:sz w:val="15"/>
          <w:szCs w:val="15"/>
          <w:highlight w:val="none"/>
        </w:rPr>
        <w:t>，</w:t>
      </w:r>
      <w:r>
        <w:rPr>
          <w:rFonts w:hint="eastAsia"/>
          <w:sz w:val="15"/>
          <w:szCs w:val="15"/>
          <w:highlight w:val="none"/>
          <w:lang w:val="en-US" w:eastAsia="zh-CN"/>
        </w:rPr>
        <w:t>130925197807126411</w:t>
      </w:r>
      <w:r>
        <w:rPr>
          <w:rFonts w:hint="eastAsia"/>
          <w:sz w:val="15"/>
          <w:szCs w:val="15"/>
        </w:rPr>
        <w:t xml:space="preserve">  </w:t>
      </w:r>
      <w:r>
        <w:rPr>
          <w:rFonts w:hint="eastAsia"/>
          <w:sz w:val="15"/>
          <w:szCs w:val="15"/>
          <w:lang w:val="en-US" w:eastAsia="zh-CN"/>
        </w:rPr>
        <w:t>沪A25070A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