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杜文杰</w:t>
      </w:r>
      <w:r>
        <w:rPr>
          <w:rFonts w:hint="eastAsia"/>
          <w:sz w:val="15"/>
          <w:szCs w:val="15"/>
          <w:highlight w:val="none"/>
        </w:rPr>
        <w:t>，</w:t>
      </w:r>
      <w:r>
        <w:rPr>
          <w:rFonts w:hint="eastAsia"/>
          <w:sz w:val="15"/>
          <w:szCs w:val="15"/>
          <w:highlight w:val="none"/>
          <w:lang w:val="en-US" w:eastAsia="zh-CN"/>
        </w:rPr>
        <w:t>130128200604172119</w:t>
      </w:r>
      <w:r>
        <w:rPr>
          <w:rFonts w:hint="eastAsia"/>
          <w:sz w:val="15"/>
          <w:szCs w:val="15"/>
        </w:rPr>
        <w:t xml:space="preserve">  </w:t>
      </w:r>
      <w:r>
        <w:rPr>
          <w:rFonts w:hint="eastAsia"/>
          <w:sz w:val="15"/>
          <w:szCs w:val="15"/>
          <w:lang w:val="en-US" w:eastAsia="zh-CN"/>
        </w:rPr>
        <w:t>冀A9E416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