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罗应平</w:t>
      </w:r>
      <w:r>
        <w:rPr>
          <w:rFonts w:hint="eastAsia"/>
          <w:sz w:val="15"/>
          <w:szCs w:val="15"/>
          <w:highlight w:val="none"/>
        </w:rPr>
        <w:t>，</w:t>
      </w:r>
      <w:r>
        <w:rPr>
          <w:rFonts w:hint="eastAsia"/>
          <w:sz w:val="15"/>
          <w:szCs w:val="15"/>
          <w:highlight w:val="none"/>
          <w:lang w:val="en-US" w:eastAsia="zh-CN"/>
        </w:rPr>
        <w:t>130131198208304229</w:t>
      </w:r>
      <w:r>
        <w:rPr>
          <w:rFonts w:hint="eastAsia"/>
          <w:sz w:val="15"/>
          <w:szCs w:val="15"/>
        </w:rPr>
        <w:t xml:space="preserve">  </w:t>
      </w:r>
      <w:r>
        <w:rPr>
          <w:rFonts w:hint="eastAsia"/>
          <w:sz w:val="15"/>
          <w:szCs w:val="15"/>
          <w:lang w:val="en-US" w:eastAsia="zh-CN"/>
        </w:rPr>
        <w:t>冀A02046D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