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谷进飞</w:t>
      </w:r>
      <w:r>
        <w:rPr>
          <w:rFonts w:hint="eastAsia"/>
          <w:sz w:val="15"/>
          <w:szCs w:val="15"/>
          <w:highlight w:val="none"/>
        </w:rPr>
        <w:t>，</w:t>
      </w:r>
      <w:r>
        <w:rPr>
          <w:rFonts w:hint="eastAsia"/>
          <w:sz w:val="15"/>
          <w:szCs w:val="15"/>
          <w:highlight w:val="none"/>
          <w:lang w:val="en-US" w:eastAsia="zh-CN"/>
        </w:rPr>
        <w:t>13233519801210045X</w:t>
      </w:r>
      <w:r>
        <w:rPr>
          <w:rFonts w:hint="eastAsia"/>
          <w:sz w:val="15"/>
          <w:szCs w:val="15"/>
        </w:rPr>
        <w:t xml:space="preserve">  </w:t>
      </w:r>
      <w:r>
        <w:rPr>
          <w:rFonts w:hint="eastAsia"/>
          <w:sz w:val="15"/>
          <w:szCs w:val="15"/>
          <w:lang w:val="en-US" w:eastAsia="zh-CN"/>
        </w:rPr>
        <w:t>冀A44993D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