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侯晏春</w:t>
      </w:r>
      <w:r>
        <w:rPr>
          <w:rFonts w:hint="eastAsia"/>
          <w:sz w:val="15"/>
          <w:szCs w:val="15"/>
          <w:highlight w:val="none"/>
        </w:rPr>
        <w:t>，</w:t>
      </w:r>
      <w:r>
        <w:rPr>
          <w:rFonts w:hint="eastAsia"/>
          <w:sz w:val="15"/>
          <w:szCs w:val="15"/>
          <w:highlight w:val="none"/>
          <w:lang w:val="en-US" w:eastAsia="zh-CN"/>
        </w:rPr>
        <w:t>132930197203220311</w:t>
      </w:r>
      <w:r>
        <w:rPr>
          <w:rFonts w:hint="eastAsia"/>
          <w:sz w:val="15"/>
          <w:szCs w:val="15"/>
        </w:rPr>
        <w:t xml:space="preserve">  </w:t>
      </w:r>
      <w:r>
        <w:rPr>
          <w:rFonts w:hint="eastAsia"/>
          <w:sz w:val="15"/>
          <w:szCs w:val="15"/>
          <w:lang w:val="en-US" w:eastAsia="zh-CN"/>
        </w:rPr>
        <w:t>冀JZ9237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