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焦建伟</w:t>
      </w:r>
      <w:r>
        <w:rPr>
          <w:rFonts w:hint="eastAsia"/>
          <w:sz w:val="15"/>
          <w:szCs w:val="15"/>
          <w:highlight w:val="none"/>
        </w:rPr>
        <w:t>，</w:t>
      </w:r>
      <w:r>
        <w:rPr>
          <w:rFonts w:hint="eastAsia"/>
          <w:sz w:val="15"/>
          <w:szCs w:val="15"/>
          <w:highlight w:val="none"/>
          <w:lang w:val="en-US" w:eastAsia="zh-CN"/>
        </w:rPr>
        <w:t>13233519770320187X</w:t>
      </w:r>
      <w:r>
        <w:rPr>
          <w:rFonts w:hint="eastAsia"/>
          <w:sz w:val="15"/>
          <w:szCs w:val="15"/>
        </w:rPr>
        <w:t xml:space="preserve">  </w:t>
      </w:r>
      <w:r>
        <w:rPr>
          <w:rFonts w:hint="eastAsia"/>
          <w:sz w:val="15"/>
          <w:szCs w:val="15"/>
          <w:lang w:val="en-US" w:eastAsia="zh-CN"/>
        </w:rPr>
        <w:t>冀A06642D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