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李彦文</w:t>
      </w:r>
      <w:r>
        <w:rPr>
          <w:rFonts w:hint="eastAsia"/>
          <w:sz w:val="15"/>
          <w:szCs w:val="15"/>
          <w:highlight w:val="none"/>
        </w:rPr>
        <w:t>，</w:t>
      </w:r>
      <w:r>
        <w:rPr>
          <w:rFonts w:hint="eastAsia"/>
          <w:sz w:val="15"/>
          <w:szCs w:val="15"/>
          <w:highlight w:val="none"/>
          <w:lang w:val="en-US" w:eastAsia="zh-CN"/>
        </w:rPr>
        <w:t>130131198410071211</w:t>
      </w:r>
      <w:r>
        <w:rPr>
          <w:rFonts w:hint="eastAsia"/>
          <w:sz w:val="15"/>
          <w:szCs w:val="15"/>
        </w:rPr>
        <w:t xml:space="preserve">  </w:t>
      </w:r>
      <w:r>
        <w:rPr>
          <w:rFonts w:hint="eastAsia"/>
          <w:sz w:val="15"/>
          <w:szCs w:val="15"/>
          <w:lang w:val="en-US" w:eastAsia="zh-CN"/>
        </w:rPr>
        <w:t>沪A80869D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