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2221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付立江</w:t>
      </w:r>
      <w:r>
        <w:rPr>
          <w:rFonts w:hint="eastAsia"/>
          <w:sz w:val="15"/>
          <w:szCs w:val="15"/>
          <w:highlight w:val="none"/>
        </w:rPr>
        <w:t>，</w:t>
      </w:r>
      <w:r>
        <w:rPr>
          <w:rFonts w:hint="eastAsia"/>
          <w:sz w:val="15"/>
          <w:szCs w:val="15"/>
          <w:highlight w:val="none"/>
          <w:lang w:val="en-US" w:eastAsia="zh-CN"/>
        </w:rPr>
        <w:t>132335198102072595</w:t>
      </w:r>
      <w:r>
        <w:rPr>
          <w:rFonts w:hint="eastAsia"/>
          <w:sz w:val="15"/>
          <w:szCs w:val="15"/>
        </w:rPr>
        <w:t xml:space="preserve">  </w:t>
      </w:r>
      <w:r>
        <w:rPr>
          <w:rFonts w:hint="eastAsia"/>
          <w:sz w:val="15"/>
          <w:szCs w:val="15"/>
          <w:lang w:val="en-US" w:eastAsia="zh-CN"/>
        </w:rPr>
        <w:t>冀A38342D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